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rtl w:val="0"/>
        </w:rPr>
        <w:t xml:space="preserve">TAL PAI, TAL FILHO</w:t>
      </w:r>
    </w:p>
    <w:p w:rsidR="00000000" w:rsidDel="00000000" w:rsidP="00000000" w:rsidRDefault="00000000" w:rsidRPr="00000000" w14:paraId="00000002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rPr>
          <w:rFonts w:ascii="Nunito" w:cs="Nunito" w:eastAsia="Nunito" w:hAnsi="Nunito"/>
          <w:b w:val="1"/>
          <w:sz w:val="20"/>
          <w:szCs w:val="20"/>
        </w:rPr>
      </w:pPr>
      <w:r w:rsidDel="00000000" w:rsidR="00000000" w:rsidRPr="00000000">
        <w:rPr>
          <w:rFonts w:ascii="Nunito" w:cs="Nunito" w:eastAsia="Nunito" w:hAnsi="Nunito"/>
          <w:sz w:val="20"/>
          <w:szCs w:val="20"/>
          <w:rtl w:val="0"/>
        </w:rPr>
        <w:t xml:space="preserve">Veste a capa do Pai Presente que cria dando bons exemplos, que cria sem gritos, violência e humilhação.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3qLc84xo4+C5lgmdb7ax0iK/Mw==">CgMxLjA4AHIhMUt6ZVJYcVpscE91VmR5ZGVxeU5OZkYtc1Q5ZTFtNjJP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